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44"/>
          <w:szCs w:val="44"/>
        </w:rPr>
      </w:pPr>
    </w:p>
    <w:p>
      <w:pPr>
        <w:jc w:val="center"/>
        <w:rPr>
          <w:rFonts w:hint="eastAsia" w:ascii="黑体" w:hAnsi="黑体" w:eastAsia="黑体" w:cs="黑体"/>
          <w:b w:val="0"/>
          <w:bCs w:val="0"/>
          <w:i w:val="0"/>
          <w:iCs w:val="0"/>
          <w:caps w:val="0"/>
          <w:color w:val="3D3D3D"/>
          <w:spacing w:val="0"/>
          <w:sz w:val="32"/>
          <w:szCs w:val="32"/>
          <w:shd w:val="clear" w:fill="FFFFFF"/>
        </w:rPr>
      </w:pPr>
      <w:bookmarkStart w:id="0" w:name="_GoBack"/>
      <w:r>
        <w:rPr>
          <w:rFonts w:hint="eastAsia" w:ascii="黑体" w:hAnsi="黑体" w:eastAsia="黑体" w:cs="黑体"/>
          <w:b w:val="0"/>
          <w:bCs w:val="0"/>
          <w:sz w:val="32"/>
          <w:szCs w:val="32"/>
        </w:rPr>
        <w:t>关于公开征求</w:t>
      </w:r>
      <w:r>
        <w:rPr>
          <w:rFonts w:hint="eastAsia" w:ascii="黑体" w:hAnsi="黑体" w:eastAsia="黑体" w:cs="黑体"/>
          <w:b w:val="0"/>
          <w:bCs w:val="0"/>
          <w:i w:val="0"/>
          <w:iCs w:val="0"/>
          <w:caps w:val="0"/>
          <w:color w:val="3D3D3D"/>
          <w:spacing w:val="0"/>
          <w:sz w:val="32"/>
          <w:szCs w:val="32"/>
          <w:shd w:val="clear" w:fill="FFFFFF"/>
        </w:rPr>
        <w:t>《十堰市城市地下综合管廊安全保护管理办法</w:t>
      </w:r>
    </w:p>
    <w:p>
      <w:pPr>
        <w:jc w:val="center"/>
        <w:rPr>
          <w:rFonts w:hint="eastAsia" w:ascii="黑体" w:hAnsi="黑体" w:eastAsia="黑体" w:cs="黑体"/>
          <w:b w:val="0"/>
          <w:bCs w:val="0"/>
          <w:sz w:val="32"/>
          <w:szCs w:val="32"/>
        </w:rPr>
      </w:pPr>
      <w:r>
        <w:rPr>
          <w:rFonts w:hint="eastAsia" w:ascii="黑体" w:hAnsi="黑体" w:eastAsia="黑体" w:cs="黑体"/>
          <w:b w:val="0"/>
          <w:bCs w:val="0"/>
          <w:i w:val="0"/>
          <w:iCs w:val="0"/>
          <w:caps w:val="0"/>
          <w:color w:val="3D3D3D"/>
          <w:spacing w:val="0"/>
          <w:sz w:val="32"/>
          <w:szCs w:val="32"/>
          <w:shd w:val="clear" w:fill="FFFFFF"/>
        </w:rPr>
        <w:t>（征求意见稿）》</w:t>
      </w:r>
      <w:r>
        <w:rPr>
          <w:rFonts w:hint="eastAsia" w:ascii="黑体" w:hAnsi="黑体" w:eastAsia="黑体" w:cs="黑体"/>
          <w:b w:val="0"/>
          <w:bCs w:val="0"/>
          <w:sz w:val="32"/>
          <w:szCs w:val="32"/>
        </w:rPr>
        <w:t>意见的结果反馈</w:t>
      </w:r>
      <w:bookmarkEnd w:id="0"/>
    </w:p>
    <w:p>
      <w:pPr>
        <w:pStyle w:val="6"/>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spacing w:val="-6"/>
          <w:kern w:val="2"/>
          <w:sz w:val="32"/>
          <w:szCs w:val="32"/>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pPr>
      <w:r>
        <w:rPr>
          <w:rFonts w:hint="eastAsia" w:cs="仿宋"/>
          <w:color w:val="000000" w:themeColor="text1"/>
          <w:spacing w:val="-6"/>
          <w:kern w:val="2"/>
          <w:sz w:val="32"/>
          <w:szCs w:val="32"/>
          <w:lang w:val="en-US" w:eastAsia="zh-CN" w:bidi="ar-SA"/>
          <w14:textFill>
            <w14:solidFill>
              <w14:schemeClr w14:val="tx1"/>
            </w14:solidFill>
          </w14:textFill>
        </w:rPr>
        <w:t>　　</w:t>
      </w:r>
      <w:r>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t>2021年10月23日，市人民政府办公室《关于印发十堰市人民政府2021年规章立法计划的通知》（市政办函〔2021〕57号)将《十堰市城市地下综合管廊安全保护管理办法》列入2021年政府规章立法项目。2022年《市政府第7次常务会议纪要》明确将《十堰市城市地下综合管廊安全保护管理办法》的起草责任单位调整为市住建局，由市住建局牵头负责管廊保护法规的起草工作。此后，我局及时组织律师及行业专家按照政府规章制定的有关要求，对《十堰市城市地下综合管廊安全保护管理办法》进行了修改和完善。在十堰市政府网、市住房和城乡建设网上公开向社会征求意见，征集时间：2022年6月23日至2022年7月23日；征集范围：各有关单位、社会各界人士；要求：以来函、电子邮件、电话、传真为主。</w:t>
      </w:r>
    </w:p>
    <w:p>
      <w:pPr>
        <w:pStyle w:val="6"/>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pPr>
      <w:r>
        <w:rPr>
          <w:rFonts w:hint="eastAsia" w:cs="仿宋"/>
          <w:color w:val="000000" w:themeColor="text1"/>
          <w:spacing w:val="-6"/>
          <w:kern w:val="2"/>
          <w:sz w:val="32"/>
          <w:szCs w:val="32"/>
          <w:lang w:val="en-US" w:eastAsia="zh-CN" w:bidi="ar-SA"/>
          <w14:textFill>
            <w14:solidFill>
              <w14:schemeClr w14:val="tx1"/>
            </w14:solidFill>
          </w14:textFill>
        </w:rPr>
        <w:t>　　</w:t>
      </w:r>
      <w:r>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t>公示期一个月，截止到2022年7月23日网上未收到反馈意见；同时对相关市直部门及管线单位发函征求意见，共收到20个部门（单位）反馈意见，其中12家提出了修改意见，8个部门（单位）无修改意见。我局组织相关科室对反馈意见进行逐条研究讨论，对其中3条意见予以采纳。</w:t>
      </w:r>
    </w:p>
    <w:p>
      <w:pPr>
        <w:pStyle w:val="6"/>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pPr>
      <w:r>
        <w:rPr>
          <w:rFonts w:hint="eastAsia" w:cs="仿宋"/>
          <w:color w:val="000000" w:themeColor="text1"/>
          <w:spacing w:val="-6"/>
          <w:kern w:val="2"/>
          <w:sz w:val="32"/>
          <w:szCs w:val="32"/>
          <w:lang w:val="en-US" w:eastAsia="zh-CN" w:bidi="ar-SA"/>
          <w14:textFill>
            <w14:solidFill>
              <w14:schemeClr w14:val="tx1"/>
            </w14:solidFill>
          </w14:textFill>
        </w:rPr>
        <w:t>　　</w:t>
      </w:r>
      <w:r>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t>市自然资源和规划局建议：十一条增加修改为“在管廊及附属设施安全保护范围内，从事下列活动，需要申请行政许可的，有关行政许可实施单位应当在依法作出行政许可决定前，书面征询管廊管理机构的意见；不需要申请行政许可的建设单位应当向城乡建设行政主管部门和管廊运维单位提供安全保护方案，经城乡建设行政主管部门批准后方可实施，并在施工中按照该保护方案采取安全保护措施”。</w:t>
      </w:r>
    </w:p>
    <w:p>
      <w:pPr>
        <w:pStyle w:val="6"/>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pPr>
      <w:r>
        <w:rPr>
          <w:rFonts w:hint="eastAsia" w:cs="仿宋"/>
          <w:color w:val="000000" w:themeColor="text1"/>
          <w:spacing w:val="-6"/>
          <w:kern w:val="2"/>
          <w:sz w:val="32"/>
          <w:szCs w:val="32"/>
          <w:lang w:val="en-US" w:eastAsia="zh-CN" w:bidi="ar-SA"/>
          <w14:textFill>
            <w14:solidFill>
              <w14:schemeClr w14:val="tx1"/>
            </w14:solidFill>
          </w14:textFill>
        </w:rPr>
        <w:t>　　</w:t>
      </w:r>
      <w:r>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t>市公安局建议：第二十一条修改为“对阻挠地下综合管廊行业主管部门依法行使职权、殴打、侮辱管理人员，构成违反治安管理的，由公安机关按《中华人民共和国治安管理处罚法》进行处罚；构成妨害公务犯罪的，由司法机关依法追究刑事责任”。</w:t>
      </w:r>
    </w:p>
    <w:p>
      <w:pPr>
        <w:pStyle w:val="6"/>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pPr>
      <w:r>
        <w:rPr>
          <w:rFonts w:hint="eastAsia" w:cs="仿宋"/>
          <w:color w:val="000000" w:themeColor="text1"/>
          <w:spacing w:val="-6"/>
          <w:kern w:val="2"/>
          <w:sz w:val="32"/>
          <w:szCs w:val="32"/>
          <w:lang w:val="en-US" w:eastAsia="zh-CN" w:bidi="ar-SA"/>
          <w14:textFill>
            <w14:solidFill>
              <w14:schemeClr w14:val="tx1"/>
            </w14:solidFill>
          </w14:textFill>
        </w:rPr>
        <w:t>　　</w:t>
      </w:r>
      <w:r>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t>市行政审批局建议：第五条修改为“地下综合管廊安全保护区域内的各类新建、改建、扩建及有关工程建设，应当充分考虑地下综合管廊安全保护的相关要求，不得危害管廊安全，施工方案应当征得城乡建设行政主管部门同意后方可开工建设”。</w:t>
      </w:r>
    </w:p>
    <w:p>
      <w:pPr>
        <w:pStyle w:val="6"/>
        <w:keepNext w:val="0"/>
        <w:keepLines w:val="0"/>
        <w:pageBreakBefore w:val="0"/>
        <w:widowControl w:val="0"/>
        <w:kinsoku/>
        <w:wordWrap/>
        <w:overflowPunct/>
        <w:topLinePunct w:val="0"/>
        <w:autoSpaceDE/>
        <w:autoSpaceDN/>
        <w:bidi w:val="0"/>
        <w:adjustRightInd/>
        <w:snapToGrid/>
        <w:spacing w:afterAutospacing="0" w:line="560" w:lineRule="exact"/>
        <w:ind w:firstLine="616" w:firstLineChars="200"/>
        <w:textAlignment w:val="auto"/>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pPr>
    </w:p>
    <w:p>
      <w:pPr>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t xml:space="preserve">              </w:t>
      </w:r>
    </w:p>
    <w:p>
      <w:pPr>
        <w:ind w:firstLine="4312" w:firstLineChars="1400"/>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pPr>
      <w:r>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t>　十堰市住房和城乡建设局</w:t>
      </w:r>
    </w:p>
    <w:p>
      <w:pPr>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pPr>
      <w:r>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t>　　　　　　　　　　　　　　　  　 2022年7月31日</w:t>
      </w:r>
    </w:p>
    <w:p>
      <w:pPr>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pPr>
      <w:r>
        <w:rPr>
          <w:rFonts w:hint="eastAsia" w:ascii="仿宋" w:hAnsi="仿宋" w:eastAsia="仿宋" w:cs="仿宋"/>
          <w:color w:val="000000" w:themeColor="text1"/>
          <w:spacing w:val="-6"/>
          <w:kern w:val="2"/>
          <w:sz w:val="32"/>
          <w:szCs w:val="32"/>
          <w:lang w:val="en-US" w:eastAsia="zh-CN" w:bidi="ar-SA"/>
          <w14:textFill>
            <w14:solidFill>
              <w14:schemeClr w14:val="tx1"/>
            </w14:solidFill>
          </w14:textFill>
        </w:rPr>
        <w:t>　　</w:t>
      </w:r>
    </w:p>
    <w:p>
      <w:pPr>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　　</w:t>
      </w:r>
    </w:p>
    <w:sectPr>
      <w:footerReference r:id="rId3" w:type="default"/>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BhZTRjN2E5YzNhNTFhYmNiM2M1YWMwNGQ4NDMifQ=="/>
  </w:docVars>
  <w:rsids>
    <w:rsidRoot w:val="31D41496"/>
    <w:rsid w:val="0BAD76DC"/>
    <w:rsid w:val="31D41496"/>
    <w:rsid w:val="4D285174"/>
    <w:rsid w:val="5A2F3448"/>
    <w:rsid w:val="79F54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 Spacing"/>
    <w:qFormat/>
    <w:uiPriority w:val="1"/>
    <w:pPr>
      <w:widowControl w:val="0"/>
      <w:jc w:val="both"/>
    </w:pPr>
    <w:rPr>
      <w:rFonts w:ascii="仿宋" w:hAnsi="仿宋" w:eastAsia="仿宋" w:cstheme="minorBidi"/>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860</Words>
  <Characters>896</Characters>
  <Lines>0</Lines>
  <Paragraphs>0</Paragraphs>
  <TotalTime>8</TotalTime>
  <ScaleCrop>false</ScaleCrop>
  <LinksUpToDate>false</LinksUpToDate>
  <CharactersWithSpaces>945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2022-08-02T00:50:00Z</dcterms:created>
  <dc:creator>Administrator</dc:creator>
  <cp:lastModifiedBy>若鱼</cp:lastModifiedBy>
  <dcterms:modified xsi:type="dcterms:W3CDTF">2022-08-02T03:17:47Z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502817B98CC84E7FA83C258F96FF7685</vt:lpwstr>
  </property>
</Properties>
</file>